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AD5" w14:textId="77777777" w:rsid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 </w:t>
      </w:r>
    </w:p>
    <w:p w14:paraId="4254EE4F" w14:textId="082ECD0C" w:rsidR="003B6A28" w:rsidRPr="0043096A" w:rsidRDefault="003B6A28" w:rsidP="003B6A28">
      <w:pPr>
        <w:shd w:val="clear" w:color="auto" w:fill="FFFFFF"/>
        <w:spacing w:after="0" w:line="240" w:lineRule="auto"/>
        <w:jc w:val="center"/>
        <w:textAlignment w:val="baseline"/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</w:pPr>
      <w:r w:rsidRPr="003B6A28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>Forum de l’orientation, de la formation et de l’alternance</w:t>
      </w:r>
    </w:p>
    <w:p w14:paraId="04746923" w14:textId="77777777" w:rsidR="0043096A" w:rsidRP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A la recherche d’un nouveau projet professionnel, d’une formation ou d’une alternance ?  </w:t>
      </w:r>
    </w:p>
    <w:p w14:paraId="00F20955" w14:textId="2E28F0FC" w:rsidR="0043096A" w:rsidRP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En </w:t>
      </w:r>
      <w:r w:rsidR="00EA57E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cette période de l’année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, il est temps pour les jeunes</w:t>
      </w:r>
      <w:r w:rsidR="00EA57E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de préparer la rentrée prochaine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! Pour les aider à découvrir les secteurs professionnels qui forment et recrutent, à rencontrer et échanger en direct</w:t>
      </w:r>
      <w:r w:rsidR="00EA57E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avec des organismes de formation,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la Mission Locale du Pays de Vannes organise un </w:t>
      </w:r>
      <w:r w:rsidRPr="0043096A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 xml:space="preserve">forum de l’orientation, de la formation et de l’alternance. 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 </w:t>
      </w:r>
    </w:p>
    <w:p w14:paraId="605CBC65" w14:textId="3CEF0072" w:rsidR="0043096A" w:rsidRP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Avec le soutien financier de la Région Bretagne et du Fonds social européen, c</w:t>
      </w:r>
      <w:r w:rsidR="00EA57E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ette deuxième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édition se tiendra le </w:t>
      </w:r>
      <w:r w:rsidR="00FF202B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>mercredi</w:t>
      </w:r>
      <w:r w:rsidRPr="0043096A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 xml:space="preserve"> </w:t>
      </w:r>
      <w:r w:rsidR="00FF202B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>1</w:t>
      </w:r>
      <w:r w:rsidR="00FF202B" w:rsidRPr="00FF202B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vertAlign w:val="superscript"/>
          <w:lang w:eastAsia="fr-FR"/>
          <w14:ligatures w14:val="none"/>
        </w:rPr>
        <w:t>er</w:t>
      </w:r>
      <w:r w:rsidR="00FF202B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 xml:space="preserve"> avril</w:t>
      </w:r>
      <w:r w:rsidRPr="0043096A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 xml:space="preserve"> 202</w:t>
      </w:r>
      <w:r w:rsidR="00FF202B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>6</w:t>
      </w:r>
      <w:r w:rsidR="003B6A28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de 10h à 16h30 dans les locaux de la Mission Locale 1, rue de la loi à Vannes. 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Une trentaine d</w:t>
      </w:r>
      <w:r w:rsidR="003B6A28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’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organismes de formation, </w:t>
      </w:r>
      <w:r w:rsidR="00FF202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seront 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présents pour faire connaitre leurs prestations d’orientation, leurs offres de formation continue ou en alternance dans de nombreux domaines professionnels : transport et logistique, commerce et restauration, sanitaire et social, industrie maintenance, animation, métier</w:t>
      </w:r>
      <w:r w:rsidR="00274150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s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de l’artisanat et de la mer, administratif</w:t>
      </w:r>
      <w:r w:rsidR="00274150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s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, BTP, communication, hygiène et propreté …  </w:t>
      </w:r>
    </w:p>
    <w:p w14:paraId="60B46993" w14:textId="63EA6D23" w:rsidR="0043096A" w:rsidRP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L’occasion pour les jeunes participants de s’ouvrir à de nouveaux métiers, de découvrir l’offre de formation sur leur territoire et de se projeter sur une nouvelle étape de leur parcours. Le Conseil Région</w:t>
      </w:r>
      <w:r w:rsidR="002C4384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al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de Bretagne</w:t>
      </w:r>
      <w:r w:rsidR="00FF202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 xml:space="preserve"> (CRB)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, principal financeur des formations à destination des demandeurs d’emploi, sera également présent tout au long de cette journée</w:t>
      </w:r>
      <w:r w:rsidR="00FF202B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, ainsi que le Centre d’Information et d’Orientation (CIO), le Bureau Information Jeunesse (BIJ) et France Travail.</w:t>
      </w:r>
    </w:p>
    <w:p w14:paraId="04430D83" w14:textId="77777777" w:rsidR="0043096A" w:rsidRPr="0043096A" w:rsidRDefault="0043096A" w:rsidP="0043096A">
      <w:pPr>
        <w:shd w:val="clear" w:color="auto" w:fill="FFFFFF"/>
        <w:spacing w:after="0" w:line="240" w:lineRule="auto"/>
        <w:jc w:val="both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 </w:t>
      </w:r>
    </w:p>
    <w:p w14:paraId="4C40F41B" w14:textId="77777777" w:rsidR="0043096A" w:rsidRDefault="0043096A" w:rsidP="0043096A">
      <w:pPr>
        <w:shd w:val="clear" w:color="auto" w:fill="FFFFFF"/>
        <w:spacing w:after="0" w:line="240" w:lineRule="auto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  <w:r w:rsidRPr="0043096A">
        <w:rPr>
          <w:rFonts w:ascii="Tunga" w:eastAsia="Times New Roman" w:hAnsi="Tunga" w:cs="Tunga"/>
          <w:b/>
          <w:bCs/>
          <w:color w:val="3B204D"/>
          <w:kern w:val="0"/>
          <w:sz w:val="24"/>
          <w:szCs w:val="24"/>
          <w:lang w:eastAsia="fr-FR"/>
          <w14:ligatures w14:val="none"/>
        </w:rPr>
        <w:t xml:space="preserve">Entrée libre, ouvert à tous les jeunes de 16 à 26 ans (ou – de 30 ans pour les jeunes en situation de handicap) </w:t>
      </w:r>
      <w:r w:rsidRPr="0043096A"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  <w:t> </w:t>
      </w:r>
    </w:p>
    <w:p w14:paraId="6FA494AF" w14:textId="77777777" w:rsidR="003B6A28" w:rsidRPr="0043096A" w:rsidRDefault="003B6A28" w:rsidP="0043096A">
      <w:pPr>
        <w:shd w:val="clear" w:color="auto" w:fill="FFFFFF"/>
        <w:spacing w:after="0" w:line="240" w:lineRule="auto"/>
        <w:textAlignment w:val="baseline"/>
        <w:rPr>
          <w:rFonts w:ascii="Tunga" w:eastAsia="Times New Roman" w:hAnsi="Tunga" w:cs="Tunga"/>
          <w:color w:val="3B204D"/>
          <w:kern w:val="0"/>
          <w:sz w:val="24"/>
          <w:szCs w:val="24"/>
          <w:lang w:eastAsia="fr-FR"/>
          <w14:ligatures w14:val="none"/>
        </w:rPr>
      </w:pPr>
    </w:p>
    <w:p w14:paraId="6949FEBD" w14:textId="77777777" w:rsidR="006063A0" w:rsidRDefault="006063A0"/>
    <w:sectPr w:rsidR="0060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6A"/>
    <w:rsid w:val="000203C5"/>
    <w:rsid w:val="00050B2B"/>
    <w:rsid w:val="001D514F"/>
    <w:rsid w:val="00274150"/>
    <w:rsid w:val="002C4384"/>
    <w:rsid w:val="003B6A28"/>
    <w:rsid w:val="0043096A"/>
    <w:rsid w:val="006063A0"/>
    <w:rsid w:val="00761A81"/>
    <w:rsid w:val="00762A79"/>
    <w:rsid w:val="00A42D64"/>
    <w:rsid w:val="00A80C6D"/>
    <w:rsid w:val="00D446ED"/>
    <w:rsid w:val="00EA57EB"/>
    <w:rsid w:val="00F44ED6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78EE"/>
  <w15:chartTrackingRefBased/>
  <w15:docId w15:val="{9C722508-2289-4F44-8F6E-DF3E6F31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0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0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09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09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09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09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09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09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09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09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09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09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0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BD438181BA04ABF7300D7E334CC6E" ma:contentTypeVersion="18" ma:contentTypeDescription="Crée un document." ma:contentTypeScope="" ma:versionID="647019d8b46c6877e6190a10171fe8f1">
  <xsd:schema xmlns:xsd="http://www.w3.org/2001/XMLSchema" xmlns:xs="http://www.w3.org/2001/XMLSchema" xmlns:p="http://schemas.microsoft.com/office/2006/metadata/properties" xmlns:ns2="5344635b-5853-4821-b9ca-f1e2a080cfaf" xmlns:ns3="857c02b9-ef44-43ca-86c6-486cb656526f" targetNamespace="http://schemas.microsoft.com/office/2006/metadata/properties" ma:root="true" ma:fieldsID="a6569115e124111f99aadb800e4402ba" ns2:_="" ns3:_="">
    <xsd:import namespace="5344635b-5853-4821-b9ca-f1e2a080cfaf"/>
    <xsd:import namespace="857c02b9-ef44-43ca-86c6-486cb656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35b-5853-4821-b9ca-f1e2a080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fee566e-0810-4109-8259-5cf1a105e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02b9-ef44-43ca-86c6-486cb656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6d0864-16be-4b1e-98e2-47a9b2be224d}" ma:internalName="TaxCatchAll" ma:showField="CatchAllData" ma:web="857c02b9-ef44-43ca-86c6-486cb656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c02b9-ef44-43ca-86c6-486cb656526f" xsi:nil="true"/>
    <lcf76f155ced4ddcb4097134ff3c332f xmlns="5344635b-5853-4821-b9ca-f1e2a080c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CFD65-21EF-4CE9-B85C-447020EBEA85}"/>
</file>

<file path=customXml/itemProps2.xml><?xml version="1.0" encoding="utf-8"?>
<ds:datastoreItem xmlns:ds="http://schemas.openxmlformats.org/officeDocument/2006/customXml" ds:itemID="{2AF33895-8672-45A0-8872-466ED1BD0FF1}"/>
</file>

<file path=customXml/itemProps3.xml><?xml version="1.0" encoding="utf-8"?>
<ds:datastoreItem xmlns:ds="http://schemas.openxmlformats.org/officeDocument/2006/customXml" ds:itemID="{41BD8B44-0825-4238-BAB2-FD409FE69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BONO</dc:creator>
  <cp:keywords/>
  <dc:description/>
  <cp:lastModifiedBy>Sylvie CHESNEL</cp:lastModifiedBy>
  <cp:revision>2</cp:revision>
  <cp:lastPrinted>2026-03-10T15:28:00Z</cp:lastPrinted>
  <dcterms:created xsi:type="dcterms:W3CDTF">2026-03-14T17:06:00Z</dcterms:created>
  <dcterms:modified xsi:type="dcterms:W3CDTF">2026-03-14T17:06:00Z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0x010100449BD438181BA04ABF7300D7E334CC6E</vt:lpwstr>
  </property>
</Properties>
</file>